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0B" w:rsidRPr="00B3680B" w:rsidRDefault="00AE1A9C" w:rsidP="00B3680B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</w:t>
      </w:r>
      <w:bookmarkStart w:id="0" w:name="_GoBack"/>
      <w:bookmarkEnd w:id="0"/>
      <w:r w:rsidR="00B3680B"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ологическое воспитание и формирование экологической культуры в области обращения с твердыми коммунальными отходами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06DF737C" wp14:editId="44A47E32">
            <wp:extent cx="4762500" cy="1809750"/>
            <wp:effectExtent l="0" t="0" r="0" b="0"/>
            <wp:docPr id="1" name="Рисунок 1" descr="https://adm-trehlozhinsk.ru/assets/images/new/2023/06_june/30/0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trehlozhinsk.ru/assets/images/new/2023/06_june/30/01/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соответствии с изменениями внесенными в статью 8 Федерального закона "Об отходах производства и потребления" от 24.06.1998 N 89-ФЗ с  01.01.2019 года</w:t>
      </w: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br/>
        <w:t>К полномочиям органов местного самоуправления городских поселений в области обращения с твердыми коммунальными отходами относена также   и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лицензирование видов деятельности, потенциально опасных для окружающей среды, жизни и здоровья людей;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нормирование и разрешительная деятельность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государственный санитарно-эпидемиологический надзор и социально-гигиенический мониторинг;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системы экологического аудита;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Памятки и информационные материалы по данному вопросу размещены в разделе Защита населения.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Информация об экологических сайтах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Ecocom — все об экологии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5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http://www.ecocommunity.ru/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FacePla.net — экологический дайджест позитивной информации об экологии и технологии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6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http://facepla.net/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Saveplanet.su – «Сохраним планету»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7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http://www.saveplanet.su/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Всемирный фонд дикой природы (WWF)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8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http://wwf.panda.org/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Гринпис России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9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http://www.greenpeace.org/russia/ru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/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Министерство природных ресурсов России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0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http://www.mnr.gov.ru/</w:t>
        </w:r>
      </w:hyperlink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подсистему природоресурсного законодательства входят: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Земельный кодекс РФ (ФЗ № 136 от 25.10.2001 г.),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 РФ от 21 февраля 1992 г. № 2395-1 «О недрах»,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Лесной кодекс РФ (ФЗ № 200 от 04.12.2006 г.),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Водный кодекс РФ( ФЗ № 74 от 03.06.2006 г.),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 Первая касается биологических начал человека, вторая — его материальных основ существования.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Законе закрепляются следующие правовые положения: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·основы управления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·права и обязанности граждан, общественных и иных некоммерческих объединений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·экономическое регулирование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·нормирование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·оценка воздействия на окружающую среду и экологическая экспертиза;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·требования в области охраны окружающей среды при осуществлении хозяйственной деятельности;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·зоны экологического бедствия, зоны чрезвычайных ситуаций;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·государственный мониторинг окружающей среды (государственный экологический мониторинг);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·контроль в области охраны окружающей среды (экологический контроль);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·научные исследования в области охраны окружающей среды;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·основы формирования экологической культуры;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·международное сотрудничество в области охраны окружающей среды.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 Каждый имеет право на охрану здоровья. Право на охрану здоровья обеспечивается охраной окружающей среды…»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нормы по охране природы и рациональному природопользованию содержатся и в других актах природоресурсного законодательства России. К ним относятся Лесной кодекс РФ, Водный кодекс РФ, Федеральный закон «О животном мире» и др.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экологизация нормативных актов, регулирующих экономическую, хозяйственную и административную деятельность предприятий. Под экологизацией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Уважаемые жители! Берегите природу и ее экологическое состояние!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AE1A9C" w:rsidP="00B368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B3680B" w:rsidRPr="00B3680B" w:rsidRDefault="00B3680B" w:rsidP="00B3680B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 </w:t>
      </w:r>
      <w:r w:rsidRPr="00B3680B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439AA3F5" wp14:editId="59987A96">
            <wp:extent cx="5238750" cy="3676650"/>
            <wp:effectExtent l="0" t="0" r="0" b="0"/>
            <wp:docPr id="3" name="Рисунок 3" descr="https://adm-trehlozhinsk.ru/assets/images/new/2022/ek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-trehlozhinsk.ru/assets/images/new/2022/eko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42 Конституции РФ закреплено 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 </w:t>
      </w: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  Администрация  Реченского</w:t>
      </w: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сельского поселения Алексеевского муниципального района  Волгоградской области , в соответствии с положениями ФЗ «Об охране окружающей среды» (ст. 71, ст. 74), в целях формирования </w:t>
      </w: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безопасности.</w:t>
      </w:r>
    </w:p>
    <w:p w:rsidR="00B3680B" w:rsidRPr="00B3680B" w:rsidRDefault="00B3680B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Информирование населения о законодательстве в области охраны окружающей среды и законодательстве в области экологической безопасности: 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2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http://www.consultant.ru/document/Cons_doc_LAW_34823/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- Федеральный закон "Об охране окружающей среды" от 10.01.2002 N 7-ФЗ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3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http://www.consultant.ru/document/Cons_doc_LAW_19109/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- Федеральный закон "Об отходах производства и потребления" от 24.06.1998 N 89-ФЗ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Можно выделить следующие тематические блоки экологической информации: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экология как раздел биологии, рассматривающий основные закономерности функционирования природных систем различного ранга (от биосферы до элементарных экосистем и популяций);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социальная экология, рассматривающая взаимоотношения общества и природы;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прикладная экология, рассматривающая вопросы природоохранной деятельности, рационального природопользования, экологической безопасности;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— экологическое право, рассматривающее законодательство по вопросам экологии и охраны окружающей среды (международное, федеральное и региональное).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Документы по экологии на традиционных носителях: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Печатные издания: книги, брошюры, периодические издания; аудиовизуальные материалы по экологии и охране окружающей среды, справочно-библиографический фонд: справочные и библиографические издания, экспресс-информация, неопубликованные библиографические пособия и т. д.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помощь экологическому образованию выходят десятки наименований периодических изданий. Данные ресурсы, представленные в традиционной форме, поступают в розничную продажу, их комплектуют, либо получают библиотеки. Информация о вновь издаваемых документах доступна через каталоги издательств, книжные выставки-ярмарки, сайты издающих организаций и подписных агентств.</w:t>
      </w:r>
    </w:p>
    <w:p w:rsidR="00B3680B" w:rsidRPr="00B3680B" w:rsidRDefault="00B3680B" w:rsidP="00B3680B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В качестве самостоятельного сегмента информационного экологического пространства может быть рассмотрена совокупность сетевых ресурсов, представленных в Интернет, как на бесплатной, так и на платной основе.</w:t>
      </w:r>
    </w:p>
    <w:p w:rsidR="00B3680B" w:rsidRPr="00B3680B" w:rsidRDefault="00B3680B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B3680B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Экологические сайты: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4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http://www.ecocommunity.ru/ 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–Экология / Всё об экологии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5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http://facepla.net/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Экологический дайджест позитивной информации об экологии и технологии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6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http://saveplanet.su/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«Сохраним планету»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7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http://www.greenpeace.org/russia/ru/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Гринпис России</w:t>
      </w:r>
    </w:p>
    <w:p w:rsidR="00B3680B" w:rsidRPr="00B3680B" w:rsidRDefault="00AE1A9C" w:rsidP="00B3680B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8" w:tgtFrame="_blank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http://www.mnr.gov.ru/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– Министерство природных ресурсов России</w:t>
      </w:r>
    </w:p>
    <w:p w:rsidR="007E0E3A" w:rsidRPr="00B3680B" w:rsidRDefault="00AE1A9C" w:rsidP="00B3680B">
      <w:pPr>
        <w:shd w:val="clear" w:color="auto" w:fill="FFFFFF"/>
        <w:spacing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hyperlink r:id="rId19" w:history="1">
        <w:r w:rsidR="00B3680B" w:rsidRPr="00B3680B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http://www.gunhpp.narod.ru</w:t>
        </w:r>
      </w:hyperlink>
      <w:r w:rsidR="00B3680B" w:rsidRP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/ - сайт природного парка Волгогр</w:t>
      </w:r>
      <w:r w:rsidR="00B3680B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адской области « Нижнехопёрский</w:t>
      </w:r>
    </w:p>
    <w:sectPr w:rsidR="007E0E3A" w:rsidRPr="00B3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BF"/>
    <w:rsid w:val="001820BF"/>
    <w:rsid w:val="007E0E3A"/>
    <w:rsid w:val="00AE1A9C"/>
    <w:rsid w:val="00B3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20CD0-F309-4101-BD8B-B8CE8DE2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8639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f.panda.org/" TargetMode="External"/><Relationship Id="rId13" Type="http://schemas.openxmlformats.org/officeDocument/2006/relationships/hyperlink" Target="http://www.consultant.ru/document/Cons_doc_LAW_19109/" TargetMode="External"/><Relationship Id="rId18" Type="http://schemas.openxmlformats.org/officeDocument/2006/relationships/hyperlink" Target="http://www.mnr.gov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aveplanet.su/" TargetMode="External"/><Relationship Id="rId12" Type="http://schemas.openxmlformats.org/officeDocument/2006/relationships/hyperlink" Target="http://www.consultant.ru/document/Cons_doc_LAW_34823/" TargetMode="External"/><Relationship Id="rId17" Type="http://schemas.openxmlformats.org/officeDocument/2006/relationships/hyperlink" Target="http://www.greenpeace.org/russia/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veplanet.s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acepla.net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ecocommunity.ru/" TargetMode="External"/><Relationship Id="rId15" Type="http://schemas.openxmlformats.org/officeDocument/2006/relationships/hyperlink" Target="http://facepla.net/" TargetMode="External"/><Relationship Id="rId10" Type="http://schemas.openxmlformats.org/officeDocument/2006/relationships/hyperlink" Target="http://www.mnr.gov.ru/" TargetMode="External"/><Relationship Id="rId19" Type="http://schemas.openxmlformats.org/officeDocument/2006/relationships/hyperlink" Target="http://www.gunhpp.narod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reenpeace.org/russia/ru" TargetMode="External"/><Relationship Id="rId14" Type="http://schemas.openxmlformats.org/officeDocument/2006/relationships/hyperlink" Target="http://www.ecocommunity.ru/%D0%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2655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2025-11-11T07:00:00Z</dcterms:created>
  <dcterms:modified xsi:type="dcterms:W3CDTF">2025-11-11T07:14:00Z</dcterms:modified>
</cp:coreProperties>
</file>