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212 творческих работников Волгоградской области </w:t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вышли на пенсию досрочно</w:t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 марта в России отмечается День работника культуры. Артисты, занимающиеся творческой деятельностью на сцене в театрах оперы и балета (в том числе балета на льду), цирках и т.д., вправе выйти на пенсию досрочно. В Волгоградской области этим правом воспользовались 212 человек.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Основным условием для досрочного назначения пенсии творческим работникам является выработка специального стажа.</w:t>
      </w:r>
      <w:r>
        <w:rPr>
          <w:rFonts w:cs="Times New Roman" w:ascii="Times New Roman" w:hAnsi="Times New Roman"/>
          <w:sz w:val="26"/>
          <w:szCs w:val="26"/>
        </w:rPr>
        <w:t xml:space="preserve"> У граждан данной категории он должен составлять от 15 до 30 лет в зависимости от характера деятельности.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Акробатам в цирке страховая пенсия по старости назначается независимо от возраста, если имеется не менее 15 лет специального стажа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. Так, самому молодому артисту цирка из Волгограда (акробату-эквилибристу) в 2025 году исполнится 38 лет, на пенсию он вышел в 2022 году в возрасте 35 лет.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Солист балета также должен отработать на сцене театра оперы и балета 15 лет, а артистам балета необходимо 20 лет стажа, артистам-кукловодам в театрах кукол — 25 лет, артистам хора профессиональных художественных коллективов — 30 лет.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Ещ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одним обязательным условием является наличие необходимого количества пенсионных коэффициентов: в 2025 году их должно быть не менее 30.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Пенсия досрочно назначается через пять лет после приобретения права на не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. Например, если артист театра приобрет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т право на пенсию в марте 2025 года, то обратиться за ней он сможет в марте 2030 года. При этом после выхода на пенсию работники могут продолжить трудовую деятельность, в том числе по другой специальности.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281</Words>
  <Characters>1735</Characters>
  <CharactersWithSpaces>2058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2025-03-21T10:31:13Z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